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2" w14:textId="5B860CA7" w:rsidR="00DF0EA6" w:rsidRDefault="00000000" w:rsidP="005D416E">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Owen Castle</w:t>
      </w:r>
    </w:p>
    <w:p w14:paraId="00000003"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HIST 13500</w:t>
      </w:r>
    </w:p>
    <w:p w14:paraId="00000004"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December 10, 2024</w:t>
      </w:r>
    </w:p>
    <w:p w14:paraId="00000005" w14:textId="77777777" w:rsidR="00DF0EA6" w:rsidRDefault="0000000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Self-determination or Control?</w:t>
      </w:r>
    </w:p>
    <w:p w14:paraId="00000006" w14:textId="77777777" w:rsidR="00DF0EA6" w:rsidRDefault="00000000">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Analyzing a Contradictory American Political Tradition</w:t>
      </w:r>
    </w:p>
    <w:p w14:paraId="00000007"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In the early Americas, numerous political systems competed for control. Among them were the Iroquois Confederacy, the British Colonies, and the United States. The Iroquois and British systems clashed, and the United States’ system was a reaction to the British system. The clashes and synthesis between the systems resulted in the often contradictory “American political tradition,” which is revealed by putting the different governmental systems into conversation with each other. The United States of America sits at the unresolved synthesis of British colonial control and indigenous ideas of self-determination. By analyzing the laws of the Iroquois Confederacy, Thomas Jefferson’s </w:t>
      </w:r>
      <w:r>
        <w:rPr>
          <w:rFonts w:ascii="Times New Roman" w:eastAsia="Times New Roman" w:hAnsi="Times New Roman" w:cs="Times New Roman"/>
          <w:i/>
          <w:sz w:val="24"/>
          <w:szCs w:val="24"/>
        </w:rPr>
        <w:t>A Summary View of the Rights of British North America</w:t>
      </w:r>
      <w:r>
        <w:rPr>
          <w:rFonts w:ascii="Times New Roman" w:eastAsia="Times New Roman" w:hAnsi="Times New Roman" w:cs="Times New Roman"/>
          <w:sz w:val="24"/>
          <w:szCs w:val="24"/>
        </w:rPr>
        <w:t>, and the Northwest Ordinance (1787), this paper will show how American government aspires to be liberatory and representative while cemented in a system of colonialism and centralized control.</w:t>
      </w:r>
    </w:p>
    <w:p w14:paraId="00000008"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Ideas of mutual assistance and commerce are at the center of the American political system. The Iroquois Confederacy was built around the concept of mutual assistance. According to the Laws of the Confederacy, if one of the five nations “fails to pry the creeping, evil thing out, you shall then call loudly that all the Confederate Nations may hear and they will come immediately to your assistance.”</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z w:val="24"/>
          <w:szCs w:val="24"/>
        </w:rPr>
        <w:t xml:space="preserve"> Nations in the confederacy look out for other nations, building a structure of mutual assistance.</w:t>
      </w:r>
    </w:p>
    <w:p w14:paraId="00000009"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In stark contrast, the British Colonies were built around the idea of controlled commerce. Instead of looking out for each other, the colonies commercially served Britain. Describing this system, Jefferson stated, “Rights of free commerce fell once more a victim of arbitrary power… the trade of colonies was laid under such restrictions,” including duties on imports and exports and restrictions on where colonies could trade.</w:t>
      </w:r>
      <w:r>
        <w:rPr>
          <w:rFonts w:ascii="Times New Roman" w:eastAsia="Times New Roman" w:hAnsi="Times New Roman" w:cs="Times New Roman"/>
          <w:sz w:val="24"/>
          <w:szCs w:val="24"/>
          <w:vertAlign w:val="superscript"/>
        </w:rPr>
        <w:footnoteReference w:id="2"/>
      </w:r>
      <w:r>
        <w:rPr>
          <w:rFonts w:ascii="Times New Roman" w:eastAsia="Times New Roman" w:hAnsi="Times New Roman" w:cs="Times New Roman"/>
          <w:sz w:val="24"/>
          <w:szCs w:val="24"/>
        </w:rPr>
        <w:t xml:space="preserve"> In the colonies, an external power controlled how they could interact with other nations. Instead of serving the mutual benefit of all through assistance, this system served to benefit the British at the expense of the colonies.</w:t>
      </w:r>
    </w:p>
    <w:p w14:paraId="0000000A"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United States draws from both Iroquois ideas of mutual assistance and British ideas of commerce in the Northwest Ordinance. In line with the Iroquois, “The said territory… shall forever remain a part of the confederacy,” enshrining the United States military protection of the Northwest Territories.</w:t>
      </w:r>
      <w:r>
        <w:rPr>
          <w:rFonts w:ascii="Times New Roman" w:eastAsia="Times New Roman" w:hAnsi="Times New Roman" w:cs="Times New Roman"/>
          <w:sz w:val="24"/>
          <w:szCs w:val="24"/>
          <w:vertAlign w:val="superscript"/>
        </w:rPr>
        <w:footnoteReference w:id="3"/>
      </w:r>
      <w:r>
        <w:rPr>
          <w:rFonts w:ascii="Times New Roman" w:eastAsia="Times New Roman" w:hAnsi="Times New Roman" w:cs="Times New Roman"/>
          <w:sz w:val="24"/>
          <w:szCs w:val="24"/>
        </w:rPr>
        <w:t xml:space="preserve"> On the other hand, British ideas of commerce are evident in Article IV, which guarantees, “The navigable waters leading into the Mississippi and St. Lawrence… shall be common highways, forever free,” and open for all to use.</w:t>
      </w:r>
      <w:r>
        <w:rPr>
          <w:rFonts w:ascii="Times New Roman" w:eastAsia="Times New Roman" w:hAnsi="Times New Roman" w:cs="Times New Roman"/>
          <w:sz w:val="24"/>
          <w:szCs w:val="24"/>
          <w:vertAlign w:val="superscript"/>
        </w:rPr>
        <w:footnoteReference w:id="4"/>
      </w:r>
      <w:r>
        <w:rPr>
          <w:rFonts w:ascii="Times New Roman" w:eastAsia="Times New Roman" w:hAnsi="Times New Roman" w:cs="Times New Roman"/>
          <w:sz w:val="24"/>
          <w:szCs w:val="24"/>
        </w:rPr>
        <w:t xml:space="preserve"> This draws heavily on British ideas of commerce, facilitating foreign trade from the continent’s interior via navigable waterways. However, since these waterways are open to all and free of charge, the United States rejects ideas of British commercial control. This rejection of control is complicated by ideas of land ownership in the United States, which will be discussed in the next section. Nevertheless, the American political tradition draws on both ideas of mutual assistance and commerce when considering relationships between states or nations.</w:t>
      </w:r>
    </w:p>
    <w:p w14:paraId="0000000B"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Another key contested idea in the American political tradition is land ownership. In the Laws of the Iroquois Confederacy, there was no discussion of land ownership; the closest </w:t>
      </w:r>
      <w:r>
        <w:rPr>
          <w:rFonts w:ascii="Times New Roman" w:eastAsia="Times New Roman" w:hAnsi="Times New Roman" w:cs="Times New Roman"/>
          <w:sz w:val="24"/>
          <w:szCs w:val="24"/>
        </w:rPr>
        <w:lastRenderedPageBreak/>
        <w:t>consideration was hunting rights. The confederacy agreed that, “We shall only have one dish (or bowl) in which will be placed one beaver’s tail and we shall all have coequal right to it,” enshrining shared hunting grounds.</w:t>
      </w:r>
      <w:r>
        <w:rPr>
          <w:rFonts w:ascii="Times New Roman" w:eastAsia="Times New Roman" w:hAnsi="Times New Roman" w:cs="Times New Roman"/>
          <w:sz w:val="24"/>
          <w:szCs w:val="24"/>
          <w:vertAlign w:val="superscript"/>
        </w:rPr>
        <w:footnoteReference w:id="5"/>
      </w:r>
      <w:r>
        <w:rPr>
          <w:rFonts w:ascii="Times New Roman" w:eastAsia="Times New Roman" w:hAnsi="Times New Roman" w:cs="Times New Roman"/>
          <w:sz w:val="24"/>
          <w:szCs w:val="24"/>
        </w:rPr>
        <w:t xml:space="preserve"> The Iroquois did not have a system of land ownership, instead they opted for a more cooperative system of land use.</w:t>
      </w:r>
    </w:p>
    <w:p w14:paraId="0000000C"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British, however, had a highly centralized system of land ownership. According to Jefferson, “America was conquered, and her settlements made, and firmly established, at the expense of individuals… for themselves alone have the right to hold,” land.</w:t>
      </w:r>
      <w:r>
        <w:rPr>
          <w:rFonts w:ascii="Times New Roman" w:eastAsia="Times New Roman" w:hAnsi="Times New Roman" w:cs="Times New Roman"/>
          <w:sz w:val="24"/>
          <w:szCs w:val="24"/>
          <w:vertAlign w:val="superscript"/>
        </w:rPr>
        <w:footnoteReference w:id="6"/>
      </w:r>
      <w:r>
        <w:rPr>
          <w:rFonts w:ascii="Times New Roman" w:eastAsia="Times New Roman" w:hAnsi="Times New Roman" w:cs="Times New Roman"/>
          <w:sz w:val="24"/>
          <w:szCs w:val="24"/>
        </w:rPr>
        <w:t xml:space="preserve"> British Colonists brought ideas of land ownership to America, which resulted in individual land owners. This alone characterizes a system of control through land ownership. Moreover, British law stipulates, “All land belongs originally to the King.”</w:t>
      </w:r>
      <w:r>
        <w:rPr>
          <w:rFonts w:ascii="Times New Roman" w:eastAsia="Times New Roman" w:hAnsi="Times New Roman" w:cs="Times New Roman"/>
          <w:sz w:val="24"/>
          <w:szCs w:val="24"/>
          <w:vertAlign w:val="superscript"/>
        </w:rPr>
        <w:footnoteReference w:id="7"/>
      </w:r>
      <w:r>
        <w:rPr>
          <w:rFonts w:ascii="Times New Roman" w:eastAsia="Times New Roman" w:hAnsi="Times New Roman" w:cs="Times New Roman"/>
          <w:sz w:val="24"/>
          <w:szCs w:val="24"/>
        </w:rPr>
        <w:t xml:space="preserve"> Thus, American landownership was highly centralized under the crown in the British colonial system. Land ownership is another way the British brought ideas of control to the Americas.</w:t>
      </w:r>
    </w:p>
    <w:p w14:paraId="0000000D"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Ideas of land ownership in the United States changed very little from the British system. Only Section 2 of the Northwest Ordinance discusses land ownership, and it is discussed in terms of how land gets inherited between generations in the Territories.</w:t>
      </w:r>
      <w:r>
        <w:rPr>
          <w:rFonts w:ascii="Times New Roman" w:eastAsia="Times New Roman" w:hAnsi="Times New Roman" w:cs="Times New Roman"/>
          <w:sz w:val="24"/>
          <w:szCs w:val="24"/>
          <w:vertAlign w:val="superscript"/>
        </w:rPr>
        <w:footnoteReference w:id="8"/>
      </w:r>
      <w:r>
        <w:rPr>
          <w:rFonts w:ascii="Times New Roman" w:eastAsia="Times New Roman" w:hAnsi="Times New Roman" w:cs="Times New Roman"/>
          <w:sz w:val="24"/>
          <w:szCs w:val="24"/>
        </w:rPr>
        <w:t xml:space="preserve"> This means the concept of land ownership remained in the United States, only rejecting the concept of a King who has an original claim to the land. While the rejection of a king loosens control, the idea of land ownership suggests domain over the earth. Iroquois ideas of cooperative land use are only relevant in the use of navigable waterways in the United States.</w:t>
      </w:r>
      <w:r>
        <w:rPr>
          <w:rFonts w:ascii="Times New Roman" w:eastAsia="Times New Roman" w:hAnsi="Times New Roman" w:cs="Times New Roman"/>
          <w:sz w:val="24"/>
          <w:szCs w:val="24"/>
          <w:vertAlign w:val="superscript"/>
        </w:rPr>
        <w:footnoteReference w:id="9"/>
      </w:r>
      <w:r>
        <w:rPr>
          <w:rFonts w:ascii="Times New Roman" w:eastAsia="Times New Roman" w:hAnsi="Times New Roman" w:cs="Times New Roman"/>
          <w:sz w:val="24"/>
          <w:szCs w:val="24"/>
        </w:rPr>
        <w:t xml:space="preserve"> However, since the public use of navigable waterways is meant to bolster the flow of commercial goods derived from land </w:t>
      </w:r>
      <w:r>
        <w:rPr>
          <w:rFonts w:ascii="Times New Roman" w:eastAsia="Times New Roman" w:hAnsi="Times New Roman" w:cs="Times New Roman"/>
          <w:sz w:val="24"/>
          <w:szCs w:val="24"/>
        </w:rPr>
        <w:lastRenderedPageBreak/>
        <w:t>ownership, even this clause seems to reinforce control through property. Ideas of land ownership and cooperative land use were contested in the American political tradition, but the idea of control through land ownership won.</w:t>
      </w:r>
    </w:p>
    <w:p w14:paraId="0000000E"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Representation is the final contested element of the American political tradition. The Iroquois Confederacy had a representative system of government. The Confederate council was composed of representatives from each nation in the Confederacy.</w:t>
      </w:r>
      <w:r>
        <w:rPr>
          <w:rFonts w:ascii="Times New Roman" w:eastAsia="Times New Roman" w:hAnsi="Times New Roman" w:cs="Times New Roman"/>
          <w:sz w:val="24"/>
          <w:szCs w:val="24"/>
          <w:vertAlign w:val="superscript"/>
        </w:rPr>
        <w:footnoteReference w:id="10"/>
      </w:r>
      <w:r>
        <w:rPr>
          <w:rFonts w:ascii="Times New Roman" w:eastAsia="Times New Roman" w:hAnsi="Times New Roman" w:cs="Times New Roman"/>
          <w:sz w:val="24"/>
          <w:szCs w:val="24"/>
        </w:rPr>
        <w:t xml:space="preserve"> The representatives deliberated within a structure that gave certain representatives more power than others, and systems other than voting were in place to ensure that they were accountable to the people they represented.</w:t>
      </w:r>
      <w:r>
        <w:rPr>
          <w:rFonts w:ascii="Times New Roman" w:eastAsia="Times New Roman" w:hAnsi="Times New Roman" w:cs="Times New Roman"/>
          <w:sz w:val="24"/>
          <w:szCs w:val="24"/>
          <w:vertAlign w:val="superscript"/>
        </w:rPr>
        <w:footnoteReference w:id="11"/>
      </w:r>
      <w:r>
        <w:rPr>
          <w:rFonts w:ascii="Times New Roman" w:eastAsia="Times New Roman" w:hAnsi="Times New Roman" w:cs="Times New Roman"/>
          <w:sz w:val="24"/>
          <w:szCs w:val="24"/>
        </w:rPr>
        <w:t xml:space="preserve"> The Iroquois developed a representative government without a system for voting.</w:t>
      </w:r>
    </w:p>
    <w:p w14:paraId="0000000F"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British Colonies, on the other hand, had a complicated relationship with representative government. Jefferson complained over a parliamentary act that suspended the New York legislature, saying, “One free and independent legislature hereby takes upon itself to suspend the powers of another, free and independent as itself.”</w:t>
      </w:r>
      <w:r>
        <w:rPr>
          <w:rFonts w:ascii="Times New Roman" w:eastAsia="Times New Roman" w:hAnsi="Times New Roman" w:cs="Times New Roman"/>
          <w:sz w:val="24"/>
          <w:szCs w:val="24"/>
          <w:vertAlign w:val="superscript"/>
        </w:rPr>
        <w:footnoteReference w:id="12"/>
      </w:r>
      <w:r>
        <w:rPr>
          <w:rFonts w:ascii="Times New Roman" w:eastAsia="Times New Roman" w:hAnsi="Times New Roman" w:cs="Times New Roman"/>
          <w:sz w:val="24"/>
          <w:szCs w:val="24"/>
        </w:rPr>
        <w:t xml:space="preserve"> Dissolving the New York legislature deprived the colonists of representative government, consolidating power and control in Britain. While the colonists supposedly had a representative government, true power was held across the Atlantic in Britain.</w:t>
      </w:r>
    </w:p>
    <w:p w14:paraId="00000010"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The system of government in the Northwest Territories both protected representation and ensured external control. A legislature was formed of representatives elected by landowners in the territories, further bolstering the power derived through land ownership in the American political tradition.</w:t>
      </w:r>
      <w:r>
        <w:rPr>
          <w:rFonts w:ascii="Times New Roman" w:eastAsia="Times New Roman" w:hAnsi="Times New Roman" w:cs="Times New Roman"/>
          <w:sz w:val="24"/>
          <w:szCs w:val="24"/>
          <w:vertAlign w:val="superscript"/>
        </w:rPr>
        <w:footnoteReference w:id="13"/>
      </w:r>
      <w:r>
        <w:rPr>
          <w:rFonts w:ascii="Times New Roman" w:eastAsia="Times New Roman" w:hAnsi="Times New Roman" w:cs="Times New Roman"/>
          <w:sz w:val="24"/>
          <w:szCs w:val="24"/>
        </w:rPr>
        <w:t xml:space="preserve"> While the territories had a guise of representative government, Congress </w:t>
      </w:r>
      <w:r>
        <w:rPr>
          <w:rFonts w:ascii="Times New Roman" w:eastAsia="Times New Roman" w:hAnsi="Times New Roman" w:cs="Times New Roman"/>
          <w:sz w:val="24"/>
          <w:szCs w:val="24"/>
        </w:rPr>
        <w:lastRenderedPageBreak/>
        <w:t>appointed governors who had the power to approve or veto all laws passed by the legislature.</w:t>
      </w:r>
      <w:r>
        <w:rPr>
          <w:rFonts w:ascii="Times New Roman" w:eastAsia="Times New Roman" w:hAnsi="Times New Roman" w:cs="Times New Roman"/>
          <w:sz w:val="24"/>
          <w:szCs w:val="24"/>
          <w:vertAlign w:val="superscript"/>
        </w:rPr>
        <w:footnoteReference w:id="14"/>
      </w:r>
      <w:r>
        <w:rPr>
          <w:rFonts w:ascii="Times New Roman" w:eastAsia="Times New Roman" w:hAnsi="Times New Roman" w:cs="Times New Roman"/>
          <w:sz w:val="24"/>
          <w:szCs w:val="24"/>
        </w:rPr>
        <w:t xml:space="preserve"> This system reflects the British Colonial government because true power was held outside the territories. Nevertheless, Article V ensures that the territories will eventually become states once certain partitions of the territories contain 60,000 free inhabitants.</w:t>
      </w:r>
      <w:r>
        <w:rPr>
          <w:rFonts w:ascii="Times New Roman" w:eastAsia="Times New Roman" w:hAnsi="Times New Roman" w:cs="Times New Roman"/>
          <w:sz w:val="24"/>
          <w:szCs w:val="24"/>
          <w:vertAlign w:val="superscript"/>
        </w:rPr>
        <w:footnoteReference w:id="15"/>
      </w:r>
      <w:r>
        <w:rPr>
          <w:rFonts w:ascii="Times New Roman" w:eastAsia="Times New Roman" w:hAnsi="Times New Roman" w:cs="Times New Roman"/>
          <w:sz w:val="24"/>
          <w:szCs w:val="24"/>
        </w:rPr>
        <w:t xml:space="preserve"> States have true representation in the US government. The system of government in the territories reveals that the American political tradition aspired to achieve representative government, but in the short term, it wanted to exert colonial control.</w:t>
      </w:r>
    </w:p>
    <w:p w14:paraId="00000011"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One highly notable omission in this analysis of the American political tradition is slavery. The Northwest Ordinance banned slavery, but the institution continued elsewhere in the United States.</w:t>
      </w:r>
      <w:r>
        <w:rPr>
          <w:rFonts w:ascii="Times New Roman" w:eastAsia="Times New Roman" w:hAnsi="Times New Roman" w:cs="Times New Roman"/>
          <w:sz w:val="24"/>
          <w:szCs w:val="24"/>
          <w:vertAlign w:val="superscript"/>
        </w:rPr>
        <w:footnoteReference w:id="16"/>
      </w:r>
      <w:r>
        <w:rPr>
          <w:rFonts w:ascii="Times New Roman" w:eastAsia="Times New Roman" w:hAnsi="Times New Roman" w:cs="Times New Roman"/>
          <w:sz w:val="24"/>
          <w:szCs w:val="24"/>
        </w:rPr>
        <w:t xml:space="preserve"> This suggests that the American political tradition aspired to abolish slavery. However, the reality was far more complicated given the powerful interests that wanted the institution to continue. Perhaps slavery also fits into ideas of control in the American political tradition. All this is to say that slavery is at the center of the American political tradition, but is beyond the scope of this paper because of page constraints.</w:t>
      </w:r>
    </w:p>
    <w:p w14:paraId="00000012" w14:textId="77777777" w:rsidR="00DF0EA6" w:rsidRDefault="00000000">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The American political tradition aspires to the ideal of self-determination through mutual assistance and representation, but is also stuck in a system of control as evinced by land ownership and commerce. The contradictory relationship between self-determination and control is central to the American story, from the acquisition of the Northwest Territories to current debates over the liberatory and harmful effects of technology ranging from automobiles to social media. The American Revolution grappled with colonial and anti-colonial ideals, never fully resolving which side the United States fell on. Thus, we inherit a political tradition today riddled </w:t>
      </w:r>
      <w:r>
        <w:rPr>
          <w:rFonts w:ascii="Times New Roman" w:eastAsia="Times New Roman" w:hAnsi="Times New Roman" w:cs="Times New Roman"/>
          <w:sz w:val="24"/>
          <w:szCs w:val="24"/>
        </w:rPr>
        <w:lastRenderedPageBreak/>
        <w:t>with the contradictions of self-determination and control. Perhaps this tension will never be resolved, but, for our own sake, we ought to fight for self-determination in the face of the ever-firming grip of control.</w:t>
      </w:r>
    </w:p>
    <w:sectPr w:rsidR="00DF0EA6">
      <w:head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8D0BB" w14:textId="77777777" w:rsidR="000E2B24" w:rsidRDefault="000E2B24">
      <w:pPr>
        <w:spacing w:line="240" w:lineRule="auto"/>
      </w:pPr>
      <w:r>
        <w:separator/>
      </w:r>
    </w:p>
  </w:endnote>
  <w:endnote w:type="continuationSeparator" w:id="0">
    <w:p w14:paraId="1A377046" w14:textId="77777777" w:rsidR="000E2B24" w:rsidRDefault="000E2B2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75BD03" w14:textId="77777777" w:rsidR="000E2B24" w:rsidRDefault="000E2B24">
      <w:pPr>
        <w:spacing w:line="240" w:lineRule="auto"/>
      </w:pPr>
      <w:r>
        <w:separator/>
      </w:r>
    </w:p>
  </w:footnote>
  <w:footnote w:type="continuationSeparator" w:id="0">
    <w:p w14:paraId="63CEC290" w14:textId="77777777" w:rsidR="000E2B24" w:rsidRDefault="000E2B24">
      <w:pPr>
        <w:spacing w:line="240" w:lineRule="auto"/>
      </w:pPr>
      <w:r>
        <w:continuationSeparator/>
      </w:r>
    </w:p>
  </w:footnote>
  <w:footnote w:id="1">
    <w:p w14:paraId="00000013" w14:textId="77777777" w:rsidR="00DF0EA6" w:rsidRDefault="00000000">
      <w:pPr>
        <w:spacing w:line="240" w:lineRule="auto"/>
        <w:rPr>
          <w:sz w:val="20"/>
          <w:szCs w:val="20"/>
        </w:rPr>
      </w:pPr>
      <w:r>
        <w:rPr>
          <w:vertAlign w:val="superscript"/>
        </w:rPr>
        <w:footnoteRef/>
      </w:r>
      <w:r>
        <w:rPr>
          <w:sz w:val="20"/>
          <w:szCs w:val="20"/>
        </w:rPr>
        <w:t xml:space="preserve"> The Laws of the Confederacy (1900), 56.</w:t>
      </w:r>
    </w:p>
  </w:footnote>
  <w:footnote w:id="2">
    <w:p w14:paraId="00000014" w14:textId="77777777" w:rsidR="00DF0EA6" w:rsidRDefault="00000000">
      <w:pPr>
        <w:spacing w:line="240" w:lineRule="auto"/>
        <w:rPr>
          <w:sz w:val="20"/>
          <w:szCs w:val="20"/>
        </w:rPr>
      </w:pPr>
      <w:r>
        <w:rPr>
          <w:vertAlign w:val="superscript"/>
        </w:rPr>
        <w:footnoteRef/>
      </w:r>
      <w:r>
        <w:rPr>
          <w:sz w:val="20"/>
          <w:szCs w:val="20"/>
        </w:rPr>
        <w:t xml:space="preserve"> Thomas Jefferson, “Summary View” (1774), 137.</w:t>
      </w:r>
    </w:p>
  </w:footnote>
  <w:footnote w:id="3">
    <w:p w14:paraId="00000015" w14:textId="77777777" w:rsidR="00DF0EA6" w:rsidRDefault="00000000">
      <w:pPr>
        <w:spacing w:line="240" w:lineRule="auto"/>
        <w:rPr>
          <w:sz w:val="20"/>
          <w:szCs w:val="20"/>
        </w:rPr>
      </w:pPr>
      <w:r>
        <w:rPr>
          <w:vertAlign w:val="superscript"/>
        </w:rPr>
        <w:footnoteRef/>
      </w:r>
      <w:r>
        <w:rPr>
          <w:sz w:val="20"/>
          <w:szCs w:val="20"/>
        </w:rPr>
        <w:t xml:space="preserve"> Northwest Ordinance (1787), 5.</w:t>
      </w:r>
    </w:p>
  </w:footnote>
  <w:footnote w:id="4">
    <w:p w14:paraId="00000016" w14:textId="77777777" w:rsidR="00DF0EA6" w:rsidRDefault="00000000">
      <w:pPr>
        <w:spacing w:line="240" w:lineRule="auto"/>
        <w:rPr>
          <w:sz w:val="20"/>
          <w:szCs w:val="20"/>
        </w:rPr>
      </w:pPr>
      <w:r>
        <w:rPr>
          <w:vertAlign w:val="superscript"/>
        </w:rPr>
        <w:footnoteRef/>
      </w:r>
      <w:r>
        <w:rPr>
          <w:sz w:val="20"/>
          <w:szCs w:val="20"/>
        </w:rPr>
        <w:t xml:space="preserve"> Northwest Ordinance (1787), 5.</w:t>
      </w:r>
    </w:p>
  </w:footnote>
  <w:footnote w:id="5">
    <w:p w14:paraId="00000017" w14:textId="77777777" w:rsidR="00DF0EA6" w:rsidRDefault="00000000">
      <w:pPr>
        <w:spacing w:line="240" w:lineRule="auto"/>
        <w:rPr>
          <w:sz w:val="20"/>
          <w:szCs w:val="20"/>
        </w:rPr>
      </w:pPr>
      <w:r>
        <w:rPr>
          <w:vertAlign w:val="superscript"/>
        </w:rPr>
        <w:footnoteRef/>
      </w:r>
      <w:r>
        <w:rPr>
          <w:sz w:val="20"/>
          <w:szCs w:val="20"/>
        </w:rPr>
        <w:t xml:space="preserve"> The Laws of the Confederacy (1900), 59.</w:t>
      </w:r>
    </w:p>
  </w:footnote>
  <w:footnote w:id="6">
    <w:p w14:paraId="00000018" w14:textId="77777777" w:rsidR="00DF0EA6" w:rsidRDefault="00000000">
      <w:pPr>
        <w:spacing w:line="240" w:lineRule="auto"/>
        <w:rPr>
          <w:sz w:val="20"/>
          <w:szCs w:val="20"/>
        </w:rPr>
      </w:pPr>
      <w:r>
        <w:rPr>
          <w:vertAlign w:val="superscript"/>
        </w:rPr>
        <w:footnoteRef/>
      </w:r>
      <w:r>
        <w:rPr>
          <w:sz w:val="20"/>
          <w:szCs w:val="20"/>
        </w:rPr>
        <w:t xml:space="preserve"> Thomas Jefferson, “Summary View” (1774), 135.</w:t>
      </w:r>
    </w:p>
  </w:footnote>
  <w:footnote w:id="7">
    <w:p w14:paraId="00000019" w14:textId="77777777" w:rsidR="00DF0EA6" w:rsidRDefault="00000000">
      <w:pPr>
        <w:spacing w:line="240" w:lineRule="auto"/>
        <w:rPr>
          <w:sz w:val="20"/>
          <w:szCs w:val="20"/>
        </w:rPr>
      </w:pPr>
      <w:r>
        <w:rPr>
          <w:vertAlign w:val="superscript"/>
        </w:rPr>
        <w:footnoteRef/>
      </w:r>
      <w:r>
        <w:rPr>
          <w:sz w:val="20"/>
          <w:szCs w:val="20"/>
        </w:rPr>
        <w:t xml:space="preserve"> Thomas Jefferson, “Summary View” (1774), 146.</w:t>
      </w:r>
    </w:p>
  </w:footnote>
  <w:footnote w:id="8">
    <w:p w14:paraId="0000001A" w14:textId="77777777" w:rsidR="00DF0EA6" w:rsidRDefault="00000000">
      <w:pPr>
        <w:spacing w:line="240" w:lineRule="auto"/>
        <w:rPr>
          <w:sz w:val="20"/>
          <w:szCs w:val="20"/>
        </w:rPr>
      </w:pPr>
      <w:r>
        <w:rPr>
          <w:vertAlign w:val="superscript"/>
        </w:rPr>
        <w:footnoteRef/>
      </w:r>
      <w:r>
        <w:rPr>
          <w:sz w:val="20"/>
          <w:szCs w:val="20"/>
        </w:rPr>
        <w:t xml:space="preserve"> Northwest Ordinance (1787), 1-2.</w:t>
      </w:r>
    </w:p>
  </w:footnote>
  <w:footnote w:id="9">
    <w:p w14:paraId="0000001B" w14:textId="77777777" w:rsidR="00DF0EA6" w:rsidRDefault="00000000">
      <w:pPr>
        <w:spacing w:line="240" w:lineRule="auto"/>
        <w:rPr>
          <w:sz w:val="20"/>
          <w:szCs w:val="20"/>
        </w:rPr>
      </w:pPr>
      <w:r>
        <w:rPr>
          <w:vertAlign w:val="superscript"/>
        </w:rPr>
        <w:footnoteRef/>
      </w:r>
      <w:r>
        <w:rPr>
          <w:sz w:val="20"/>
          <w:szCs w:val="20"/>
        </w:rPr>
        <w:t>Northwest Ordinance (1787), 5.</w:t>
      </w:r>
    </w:p>
  </w:footnote>
  <w:footnote w:id="10">
    <w:p w14:paraId="0000001C" w14:textId="77777777" w:rsidR="00DF0EA6" w:rsidRDefault="00000000">
      <w:pPr>
        <w:spacing w:line="240" w:lineRule="auto"/>
        <w:rPr>
          <w:sz w:val="20"/>
          <w:szCs w:val="20"/>
        </w:rPr>
      </w:pPr>
      <w:r>
        <w:rPr>
          <w:vertAlign w:val="superscript"/>
        </w:rPr>
        <w:footnoteRef/>
      </w:r>
      <w:r>
        <w:rPr>
          <w:sz w:val="20"/>
          <w:szCs w:val="20"/>
        </w:rPr>
        <w:t xml:space="preserve"> The Laws of the Confederacy (1900), 56-57.</w:t>
      </w:r>
    </w:p>
  </w:footnote>
  <w:footnote w:id="11">
    <w:p w14:paraId="0000001D" w14:textId="77777777" w:rsidR="00DF0EA6" w:rsidRDefault="00000000">
      <w:pPr>
        <w:spacing w:line="240" w:lineRule="auto"/>
        <w:rPr>
          <w:sz w:val="20"/>
          <w:szCs w:val="20"/>
        </w:rPr>
      </w:pPr>
      <w:r>
        <w:rPr>
          <w:vertAlign w:val="superscript"/>
        </w:rPr>
        <w:footnoteRef/>
      </w:r>
      <w:r>
        <w:rPr>
          <w:sz w:val="20"/>
          <w:szCs w:val="20"/>
        </w:rPr>
        <w:t xml:space="preserve"> The Laws of the Confederacy (1900), 60.</w:t>
      </w:r>
    </w:p>
  </w:footnote>
  <w:footnote w:id="12">
    <w:p w14:paraId="0000001E" w14:textId="77777777" w:rsidR="00DF0EA6" w:rsidRDefault="00000000">
      <w:pPr>
        <w:spacing w:line="240" w:lineRule="auto"/>
        <w:rPr>
          <w:sz w:val="20"/>
          <w:szCs w:val="20"/>
        </w:rPr>
      </w:pPr>
      <w:r>
        <w:rPr>
          <w:vertAlign w:val="superscript"/>
        </w:rPr>
        <w:footnoteRef/>
      </w:r>
      <w:r>
        <w:rPr>
          <w:sz w:val="20"/>
          <w:szCs w:val="20"/>
        </w:rPr>
        <w:t xml:space="preserve"> Thomas Jefferson, “Summary View” (1774), 139.</w:t>
      </w:r>
    </w:p>
  </w:footnote>
  <w:footnote w:id="13">
    <w:p w14:paraId="0000001F" w14:textId="77777777" w:rsidR="00DF0EA6" w:rsidRDefault="00000000">
      <w:pPr>
        <w:spacing w:line="240" w:lineRule="auto"/>
        <w:rPr>
          <w:sz w:val="20"/>
          <w:szCs w:val="20"/>
        </w:rPr>
      </w:pPr>
      <w:r>
        <w:rPr>
          <w:vertAlign w:val="superscript"/>
        </w:rPr>
        <w:footnoteRef/>
      </w:r>
      <w:r>
        <w:rPr>
          <w:sz w:val="20"/>
          <w:szCs w:val="20"/>
        </w:rPr>
        <w:t xml:space="preserve"> Northwest Ordinance (1787), 3.</w:t>
      </w:r>
    </w:p>
  </w:footnote>
  <w:footnote w:id="14">
    <w:p w14:paraId="00000020" w14:textId="77777777" w:rsidR="00DF0EA6" w:rsidRDefault="00000000">
      <w:pPr>
        <w:spacing w:line="240" w:lineRule="auto"/>
        <w:rPr>
          <w:sz w:val="20"/>
          <w:szCs w:val="20"/>
        </w:rPr>
      </w:pPr>
      <w:r>
        <w:rPr>
          <w:vertAlign w:val="superscript"/>
        </w:rPr>
        <w:footnoteRef/>
      </w:r>
      <w:r>
        <w:rPr>
          <w:sz w:val="20"/>
          <w:szCs w:val="20"/>
        </w:rPr>
        <w:t xml:space="preserve"> Northwest Ordinance (1787), 2-3.</w:t>
      </w:r>
    </w:p>
  </w:footnote>
  <w:footnote w:id="15">
    <w:p w14:paraId="00000021" w14:textId="77777777" w:rsidR="00DF0EA6" w:rsidRDefault="00000000">
      <w:pPr>
        <w:spacing w:line="240" w:lineRule="auto"/>
        <w:rPr>
          <w:sz w:val="20"/>
          <w:szCs w:val="20"/>
        </w:rPr>
      </w:pPr>
      <w:r>
        <w:rPr>
          <w:vertAlign w:val="superscript"/>
        </w:rPr>
        <w:footnoteRef/>
      </w:r>
      <w:r>
        <w:rPr>
          <w:sz w:val="20"/>
          <w:szCs w:val="20"/>
        </w:rPr>
        <w:t xml:space="preserve"> Northwest Ordinance (1787), 5.</w:t>
      </w:r>
    </w:p>
  </w:footnote>
  <w:footnote w:id="16">
    <w:p w14:paraId="00000022" w14:textId="77777777" w:rsidR="00DF0EA6" w:rsidRDefault="00000000">
      <w:pPr>
        <w:spacing w:line="240" w:lineRule="auto"/>
        <w:rPr>
          <w:sz w:val="20"/>
          <w:szCs w:val="20"/>
        </w:rPr>
      </w:pPr>
      <w:r>
        <w:rPr>
          <w:vertAlign w:val="superscript"/>
        </w:rPr>
        <w:footnoteRef/>
      </w:r>
      <w:r>
        <w:rPr>
          <w:sz w:val="20"/>
          <w:szCs w:val="20"/>
        </w:rPr>
        <w:t xml:space="preserve"> Northwest Ordinance (1787), 5-6.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3" w14:textId="4E7C7DAA" w:rsidR="00DF0EA6" w:rsidRDefault="00000000">
    <w:pPr>
      <w:jc w:val="right"/>
    </w:pPr>
    <w:r>
      <w:t xml:space="preserve">Castle </w:t>
    </w:r>
    <w:r>
      <w:fldChar w:fldCharType="begin"/>
    </w:r>
    <w:r>
      <w:instrText>PAGE</w:instrText>
    </w:r>
    <w:r>
      <w:fldChar w:fldCharType="separate"/>
    </w:r>
    <w:r w:rsidR="005D416E">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0EA6"/>
    <w:rsid w:val="000E2B24"/>
    <w:rsid w:val="005D416E"/>
    <w:rsid w:val="00DF0E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EDD207"/>
  <w15:docId w15:val="{3342AF64-4ECE-C041-A56A-4D903CB97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1359</Words>
  <Characters>7751</Characters>
  <Application>Microsoft Office Word</Application>
  <DocSecurity>0</DocSecurity>
  <Lines>64</Lines>
  <Paragraphs>18</Paragraphs>
  <ScaleCrop>false</ScaleCrop>
  <Company/>
  <LinksUpToDate>false</LinksUpToDate>
  <CharactersWithSpaces>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Tracy Castle</cp:lastModifiedBy>
  <cp:revision>2</cp:revision>
  <dcterms:created xsi:type="dcterms:W3CDTF">2025-04-25T19:45:00Z</dcterms:created>
  <dcterms:modified xsi:type="dcterms:W3CDTF">2025-04-25T19:45:00Z</dcterms:modified>
</cp:coreProperties>
</file>